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C3B" w:rsidRDefault="003E2C3B" w:rsidP="00D63DA2">
      <w:pPr>
        <w:jc w:val="both"/>
        <w:rPr>
          <w:rFonts w:ascii="Corbel" w:eastAsia="Corbel" w:hAnsi="Corbel" w:cs="Corbel"/>
          <w:b/>
          <w:noProof/>
          <w:w w:val="105"/>
          <w:sz w:val="28"/>
          <w:szCs w:val="28"/>
          <w:lang w:val="en-US"/>
        </w:rPr>
      </w:pPr>
    </w:p>
    <w:p w:rsidR="003A3BB1" w:rsidRPr="003E2C3B" w:rsidRDefault="003E2C3B" w:rsidP="003E2C3B">
      <w:pPr>
        <w:jc w:val="center"/>
        <w:rPr>
          <w:rFonts w:ascii="Corbel" w:eastAsia="Corbel" w:hAnsi="Corbel" w:cs="Corbel"/>
          <w:b/>
          <w:noProof/>
          <w:w w:val="105"/>
          <w:sz w:val="28"/>
          <w:szCs w:val="28"/>
          <w:lang w:val="en-US"/>
        </w:rPr>
      </w:pPr>
      <w:r w:rsidRPr="003E2C3B">
        <w:rPr>
          <w:rFonts w:ascii="Corbel" w:eastAsia="Corbel" w:hAnsi="Corbel" w:cs="Corbel"/>
          <w:b/>
          <w:noProof/>
          <w:w w:val="105"/>
          <w:sz w:val="28"/>
          <w:szCs w:val="28"/>
          <w:lang w:val="en-US"/>
        </w:rPr>
        <w:t>Elections européennes 2019</w:t>
      </w:r>
      <w:r w:rsidR="005317CD">
        <w:rPr>
          <w:rFonts w:ascii="Corbel" w:eastAsia="Corbel" w:hAnsi="Corbel" w:cs="Corbel"/>
          <w:b/>
          <w:noProof/>
          <w:w w:val="105"/>
          <w:sz w:val="28"/>
          <w:szCs w:val="28"/>
          <w:lang w:val="en-US"/>
        </w:rPr>
        <w:t xml:space="preserve"> </w:t>
      </w:r>
      <w:r w:rsidRPr="003E2C3B">
        <w:rPr>
          <w:rFonts w:ascii="Corbel" w:eastAsia="Corbel" w:hAnsi="Corbel" w:cs="Corbel"/>
          <w:b/>
          <w:noProof/>
          <w:w w:val="105"/>
          <w:sz w:val="28"/>
          <w:szCs w:val="28"/>
          <w:lang w:val="en-US"/>
        </w:rPr>
        <w:t xml:space="preserve">: </w:t>
      </w:r>
      <w:r w:rsidRPr="005C3C68">
        <w:rPr>
          <w:rFonts w:ascii="Corbel" w:eastAsia="Corbel" w:hAnsi="Corbel" w:cs="Corbel"/>
          <w:b/>
          <w:noProof/>
          <w:w w:val="105"/>
          <w:sz w:val="28"/>
          <w:szCs w:val="28"/>
          <w:lang w:val="en-US"/>
        </w:rPr>
        <w:t>Lettre ouverte aux candidats</w:t>
      </w:r>
    </w:p>
    <w:p w:rsidR="003E2C3B" w:rsidRDefault="003E2C3B" w:rsidP="003E2C3B">
      <w:pPr>
        <w:rPr>
          <w:rFonts w:ascii="Corbel" w:eastAsia="Corbel" w:hAnsi="Corbel" w:cs="Corbel"/>
          <w:b/>
          <w:noProof/>
          <w:w w:val="105"/>
          <w:sz w:val="28"/>
          <w:szCs w:val="28"/>
          <w:lang w:val="en-US"/>
        </w:rPr>
      </w:pPr>
    </w:p>
    <w:p w:rsidR="00C94124" w:rsidRPr="003E2C3B" w:rsidRDefault="00E93FAD">
      <w:pPr>
        <w:jc w:val="center"/>
        <w:rPr>
          <w:rFonts w:ascii="Corbel" w:eastAsia="Corbel" w:hAnsi="Corbel" w:cs="Corbel"/>
          <w:b/>
          <w:noProof/>
          <w:w w:val="105"/>
          <w:sz w:val="32"/>
          <w:szCs w:val="32"/>
          <w:lang w:val="en-US"/>
        </w:rPr>
      </w:pPr>
      <w:r w:rsidRPr="003E2C3B">
        <w:rPr>
          <w:rFonts w:ascii="Corbel" w:eastAsia="Corbel" w:hAnsi="Corbel" w:cs="Corbel"/>
          <w:b/>
          <w:noProof/>
          <w:w w:val="105"/>
          <w:sz w:val="32"/>
          <w:szCs w:val="32"/>
          <w:lang w:val="en-US"/>
        </w:rPr>
        <w:t>Pour</w:t>
      </w:r>
      <w:r w:rsidR="00C94124" w:rsidRPr="003E2C3B">
        <w:rPr>
          <w:rFonts w:ascii="Corbel" w:eastAsia="Corbel" w:hAnsi="Corbel" w:cs="Corbel"/>
          <w:b/>
          <w:noProof/>
          <w:w w:val="105"/>
          <w:sz w:val="32"/>
          <w:szCs w:val="32"/>
          <w:lang w:val="en-US"/>
        </w:rPr>
        <w:t xml:space="preserve"> une modification urgente des </w:t>
      </w:r>
      <w:r w:rsidR="007D50F9" w:rsidRPr="003E2C3B">
        <w:rPr>
          <w:rFonts w:ascii="Corbel" w:eastAsia="Corbel" w:hAnsi="Corbel" w:cs="Corbel"/>
          <w:b/>
          <w:noProof/>
          <w:w w:val="105"/>
          <w:sz w:val="32"/>
          <w:szCs w:val="32"/>
          <w:lang w:val="en-US"/>
        </w:rPr>
        <w:t xml:space="preserve">conditions d’exercice des </w:t>
      </w:r>
      <w:r w:rsidR="00C94124" w:rsidRPr="003E2C3B">
        <w:rPr>
          <w:rFonts w:ascii="Corbel" w:eastAsia="Corbel" w:hAnsi="Corbel" w:cs="Corbel"/>
          <w:b/>
          <w:noProof/>
          <w:w w:val="105"/>
          <w:sz w:val="32"/>
          <w:szCs w:val="32"/>
          <w:lang w:val="en-US"/>
        </w:rPr>
        <w:t>mesures conservatoires</w:t>
      </w:r>
      <w:r w:rsidR="007D50F9" w:rsidRPr="003E2C3B">
        <w:rPr>
          <w:rFonts w:ascii="Corbel" w:eastAsia="Corbel" w:hAnsi="Corbel" w:cs="Corbel"/>
          <w:b/>
          <w:noProof/>
          <w:w w:val="105"/>
          <w:sz w:val="32"/>
          <w:szCs w:val="32"/>
          <w:lang w:val="en-US"/>
        </w:rPr>
        <w:t xml:space="preserve"> par la Commission Européenne</w:t>
      </w:r>
    </w:p>
    <w:p w:rsidR="003E2C3B" w:rsidRDefault="003E2C3B" w:rsidP="003E2C3B">
      <w:pPr>
        <w:rPr>
          <w:rFonts w:ascii="Corbel" w:eastAsia="Corbel" w:hAnsi="Corbel" w:cs="Corbel"/>
          <w:b/>
          <w:noProof/>
          <w:w w:val="105"/>
          <w:sz w:val="28"/>
          <w:szCs w:val="28"/>
          <w:lang w:val="en-US"/>
        </w:rPr>
      </w:pPr>
      <w:bookmarkStart w:id="0" w:name="_GoBack"/>
      <w:bookmarkEnd w:id="0"/>
    </w:p>
    <w:p w:rsidR="00500AB1" w:rsidRPr="00500AB1" w:rsidRDefault="00500AB1" w:rsidP="00500AB1">
      <w:pPr>
        <w:jc w:val="right"/>
        <w:rPr>
          <w:rFonts w:ascii="Corbel" w:eastAsia="Corbel" w:hAnsi="Corbel" w:cs="Corbel"/>
          <w:b/>
          <w:noProof/>
          <w:w w:val="105"/>
          <w:sz w:val="20"/>
          <w:szCs w:val="20"/>
          <w:lang w:val="en-US"/>
        </w:rPr>
      </w:pPr>
      <w:r w:rsidRPr="00500AB1">
        <w:rPr>
          <w:rFonts w:ascii="Corbel" w:eastAsia="Corbel" w:hAnsi="Corbel" w:cs="Corbel"/>
          <w:b/>
          <w:noProof/>
          <w:w w:val="105"/>
          <w:sz w:val="20"/>
          <w:szCs w:val="20"/>
          <w:lang w:val="en-US"/>
        </w:rPr>
        <w:t>Paris, le 19 avril 2019</w:t>
      </w:r>
    </w:p>
    <w:p w:rsidR="003E2C3B" w:rsidRPr="00431F90" w:rsidRDefault="003E2C3B" w:rsidP="00D63DA2">
      <w:pPr>
        <w:jc w:val="both"/>
        <w:rPr>
          <w:rFonts w:ascii="Corbel" w:eastAsia="Corbel" w:hAnsi="Corbel" w:cs="Corbel"/>
          <w:noProof/>
          <w:w w:val="105"/>
          <w:sz w:val="22"/>
          <w:szCs w:val="22"/>
          <w:lang w:val="en-US"/>
        </w:rPr>
      </w:pPr>
    </w:p>
    <w:p w:rsidR="00431F90" w:rsidRPr="003E2C3B" w:rsidRDefault="007D50F9" w:rsidP="00D63DA2">
      <w:pPr>
        <w:jc w:val="both"/>
        <w:rPr>
          <w:rFonts w:ascii="Corbel" w:eastAsia="Corbel" w:hAnsi="Corbel" w:cs="Corbel"/>
          <w:noProof/>
          <w:w w:val="105"/>
          <w:sz w:val="23"/>
          <w:szCs w:val="23"/>
          <w:lang w:val="en-US"/>
        </w:rPr>
      </w:pPr>
      <w:r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Depuis que Madame Vestager s’est emparée courageusement des problématiques concurrentielles, la</w:t>
      </w:r>
      <w:r w:rsidR="00C94124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 xml:space="preserve"> Commission Européenne a imposé des amendes plus élevées que jamais aux entreprises du numérique qui </w:t>
      </w:r>
      <w:r w:rsidR="00D63DA2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abusaient</w:t>
      </w:r>
      <w:r w:rsidR="00C94124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 xml:space="preserve"> de leur position dominante</w:t>
      </w:r>
      <w:r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, mais après des années d’instruction</w:t>
      </w:r>
      <w:r w:rsidR="00C94124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 xml:space="preserve">. </w:t>
      </w:r>
      <w:r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Ainsi</w:t>
      </w:r>
      <w:r w:rsidR="00C94124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, nous regrettons l’</w:t>
      </w:r>
      <w:r w:rsidR="00C94124" w:rsidRPr="003E2C3B">
        <w:rPr>
          <w:rFonts w:ascii="Corbel" w:eastAsia="Corbel" w:hAnsi="Corbel" w:cs="Corbel"/>
          <w:b/>
          <w:noProof/>
          <w:w w:val="105"/>
          <w:sz w:val="23"/>
          <w:szCs w:val="23"/>
          <w:lang w:val="en-US"/>
        </w:rPr>
        <w:t>absence de solutions efficaces et rapides</w:t>
      </w:r>
      <w:r w:rsidR="00C94124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 xml:space="preserve"> qui servirai</w:t>
      </w:r>
      <w:r w:rsidR="00D63DA2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ent</w:t>
      </w:r>
      <w:r w:rsidR="00C94124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 xml:space="preserve"> à </w:t>
      </w:r>
      <w:r w:rsidR="005D6F46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limiter ces pratiques</w:t>
      </w:r>
      <w:r w:rsidR="00C94124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 xml:space="preserve"> avant qu’il ne soit trop tard. Par conséquent, nous appelons les futurs décideurs européens à </w:t>
      </w:r>
      <w:r w:rsidR="005D6F46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 xml:space="preserve">renforcer l’arsenal juridique permettant de </w:t>
      </w:r>
      <w:r w:rsidR="00C94124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 xml:space="preserve">combattre les abus de position dominante des grandes entreprises du numérique, qui entravent le développement de branches entières de l’économie numérique européenne. </w:t>
      </w:r>
    </w:p>
    <w:p w:rsidR="00431F90" w:rsidRPr="003E2C3B" w:rsidRDefault="00431F90">
      <w:pPr>
        <w:jc w:val="both"/>
        <w:rPr>
          <w:rFonts w:ascii="Corbel" w:eastAsia="Corbel" w:hAnsi="Corbel" w:cs="Corbel"/>
          <w:noProof/>
          <w:w w:val="105"/>
          <w:sz w:val="23"/>
          <w:szCs w:val="23"/>
          <w:lang w:val="en-US"/>
        </w:rPr>
      </w:pPr>
    </w:p>
    <w:p w:rsidR="00C94124" w:rsidRPr="003E2C3B" w:rsidRDefault="00D63DA2">
      <w:pPr>
        <w:jc w:val="both"/>
        <w:rPr>
          <w:rFonts w:ascii="Corbel" w:eastAsia="Corbel" w:hAnsi="Corbel" w:cs="Corbel"/>
          <w:noProof/>
          <w:w w:val="105"/>
          <w:sz w:val="23"/>
          <w:szCs w:val="23"/>
          <w:lang w:val="en-US"/>
        </w:rPr>
      </w:pPr>
      <w:r w:rsidRPr="003E2C3B">
        <w:rPr>
          <w:rFonts w:ascii="Corbel" w:eastAsia="Corbel" w:hAnsi="Corbel" w:cs="Corbel"/>
          <w:b/>
          <w:noProof/>
          <w:w w:val="105"/>
          <w:sz w:val="23"/>
          <w:szCs w:val="23"/>
          <w:lang w:val="en-US"/>
        </w:rPr>
        <w:t>La problématique du temps</w:t>
      </w:r>
      <w:r w:rsidR="005D6F46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, qui impose</w:t>
      </w:r>
      <w:r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 xml:space="preserve"> de raccourcir les délais des procédures en cours</w:t>
      </w:r>
      <w:r w:rsidR="005D6F46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,</w:t>
      </w:r>
      <w:r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 xml:space="preserve"> est c</w:t>
      </w:r>
      <w:r w:rsidR="005D6F46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ruciale</w:t>
      </w:r>
      <w:r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.</w:t>
      </w:r>
      <w:r w:rsidR="00C94124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 xml:space="preserve"> Les monopoles </w:t>
      </w:r>
      <w:r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abusent</w:t>
      </w:r>
      <w:r w:rsidR="00C94124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 xml:space="preserve"> d</w:t>
      </w:r>
      <w:r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es</w:t>
      </w:r>
      <w:r w:rsidR="00C94124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 xml:space="preserve"> procédures </w:t>
      </w:r>
      <w:r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très longues</w:t>
      </w:r>
      <w:r w:rsidR="00C94124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 xml:space="preserve">, tandis que les entreprises </w:t>
      </w:r>
      <w:r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européennes innovantes</w:t>
      </w:r>
      <w:r w:rsidR="00427995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,</w:t>
      </w:r>
      <w:r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 xml:space="preserve"> ainsi que</w:t>
      </w:r>
      <w:r w:rsidR="00C94124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 xml:space="preserve"> la concurrence au sein de l’Union Européenne</w:t>
      </w:r>
      <w:r w:rsidR="00427995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,</w:t>
      </w:r>
      <w:r w:rsidR="00C94124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 xml:space="preserve"> souffrent de </w:t>
      </w:r>
      <w:r w:rsidR="005D6F46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telles pratiques</w:t>
      </w:r>
      <w:r w:rsidR="007D50F9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 xml:space="preserve"> qu’elles subissent durant toute la durée de l’instruction</w:t>
      </w:r>
      <w:r w:rsidR="00C94124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. Les procédures contradictoires</w:t>
      </w:r>
      <w:r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 xml:space="preserve"> </w:t>
      </w:r>
      <w:r w:rsidR="00C94124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 xml:space="preserve">sont exploitées abusivement par les </w:t>
      </w:r>
      <w:r w:rsidR="005D6F46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grandes entreprises</w:t>
      </w:r>
      <w:r w:rsidR="00C94124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 xml:space="preserve"> sur la durée</w:t>
      </w:r>
      <w:r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, les trans</w:t>
      </w:r>
      <w:r w:rsidR="00427995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f</w:t>
      </w:r>
      <w:r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o</w:t>
      </w:r>
      <w:r w:rsidR="00427995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r</w:t>
      </w:r>
      <w:r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mant en fe</w:t>
      </w:r>
      <w:r w:rsidR="005D6F46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u</w:t>
      </w:r>
      <w:r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illeton sans fin,</w:t>
      </w:r>
      <w:r w:rsidR="00C94124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 xml:space="preserve"> pendant </w:t>
      </w:r>
      <w:r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lequel</w:t>
      </w:r>
      <w:r w:rsidR="00C94124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 xml:space="preserve"> la concurrence est dévastée.</w:t>
      </w:r>
    </w:p>
    <w:p w:rsidR="00431F90" w:rsidRPr="003E2C3B" w:rsidRDefault="00431F90">
      <w:pPr>
        <w:jc w:val="both"/>
        <w:rPr>
          <w:rFonts w:ascii="Corbel" w:eastAsia="Corbel" w:hAnsi="Corbel" w:cs="Corbel"/>
          <w:noProof/>
          <w:w w:val="105"/>
          <w:sz w:val="23"/>
          <w:szCs w:val="23"/>
          <w:lang w:val="en-US"/>
        </w:rPr>
      </w:pPr>
    </w:p>
    <w:p w:rsidR="00C94124" w:rsidRPr="003E2C3B" w:rsidRDefault="00C94124">
      <w:pPr>
        <w:jc w:val="both"/>
        <w:rPr>
          <w:rFonts w:ascii="Corbel" w:eastAsia="Corbel" w:hAnsi="Corbel" w:cs="Corbel"/>
          <w:noProof/>
          <w:w w:val="105"/>
          <w:sz w:val="23"/>
          <w:szCs w:val="23"/>
          <w:lang w:val="en-US"/>
        </w:rPr>
      </w:pPr>
      <w:r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L’utilisation de mesures conservatoires, qui permettent d</w:t>
      </w:r>
      <w:r w:rsidR="00814470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 xml:space="preserve">e suspendre les abus </w:t>
      </w:r>
      <w:r w:rsidR="00AE0C2C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en</w:t>
      </w:r>
      <w:r w:rsidR="00D63DA2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 xml:space="preserve"> quelques </w:t>
      </w:r>
      <w:r w:rsidR="00814470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mois, est prévu</w:t>
      </w:r>
      <w:r w:rsidR="005D6F46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e</w:t>
      </w:r>
      <w:r w:rsidR="00814470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 xml:space="preserve"> dans la législation européenne, mais la mise en oeuvre de ces mesures </w:t>
      </w:r>
      <w:r w:rsidR="00D63DA2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est impossible</w:t>
      </w:r>
      <w:r w:rsidR="00814470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 xml:space="preserve">. </w:t>
      </w:r>
    </w:p>
    <w:p w:rsidR="00431F90" w:rsidRPr="003E2C3B" w:rsidRDefault="00431F90">
      <w:pPr>
        <w:jc w:val="both"/>
        <w:rPr>
          <w:rFonts w:ascii="Corbel" w:eastAsia="Corbel" w:hAnsi="Corbel" w:cs="Corbel"/>
          <w:noProof/>
          <w:w w:val="105"/>
          <w:sz w:val="23"/>
          <w:szCs w:val="23"/>
          <w:lang w:val="en-US"/>
        </w:rPr>
      </w:pPr>
    </w:p>
    <w:p w:rsidR="00814470" w:rsidRPr="003E2C3B" w:rsidRDefault="00814470">
      <w:pPr>
        <w:jc w:val="both"/>
        <w:rPr>
          <w:rFonts w:ascii="Corbel" w:eastAsia="Corbel" w:hAnsi="Corbel" w:cs="Corbel"/>
          <w:noProof/>
          <w:w w:val="105"/>
          <w:sz w:val="23"/>
          <w:szCs w:val="23"/>
          <w:lang w:val="en-US"/>
        </w:rPr>
      </w:pPr>
      <w:r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En effet, le Règlement (CE) n° 1/2003 du Conseil du 16 décembre 2002 relatif à la mise en œuvre des règles de concurrence prévues aux articles 81 et 82 du traité précise que “</w:t>
      </w:r>
      <w:r w:rsidRPr="003E2C3B">
        <w:rPr>
          <w:rFonts w:ascii="Corbel" w:eastAsia="Corbel" w:hAnsi="Corbel" w:cs="Corbel"/>
          <w:i/>
          <w:noProof/>
          <w:w w:val="105"/>
          <w:sz w:val="23"/>
          <w:szCs w:val="23"/>
          <w:lang w:val="en-US"/>
        </w:rPr>
        <w:t xml:space="preserve">Dans les cas d'urgence justifiés par le fait qu'un préjudice </w:t>
      </w:r>
      <w:r w:rsidRPr="003E2C3B">
        <w:rPr>
          <w:rFonts w:ascii="Corbel" w:eastAsia="Corbel" w:hAnsi="Corbel" w:cs="Corbel"/>
          <w:b/>
          <w:i/>
          <w:noProof/>
          <w:w w:val="105"/>
          <w:sz w:val="23"/>
          <w:szCs w:val="23"/>
          <w:lang w:val="en-US"/>
        </w:rPr>
        <w:t>grave et irréparable</w:t>
      </w:r>
      <w:r w:rsidRPr="003E2C3B">
        <w:rPr>
          <w:rFonts w:ascii="Corbel" w:eastAsia="Corbel" w:hAnsi="Corbel" w:cs="Corbel"/>
          <w:i/>
          <w:noProof/>
          <w:w w:val="105"/>
          <w:sz w:val="23"/>
          <w:szCs w:val="23"/>
          <w:lang w:val="en-US"/>
        </w:rPr>
        <w:t xml:space="preserve"> risque d'être causé à la concurrence, la Commission, agissant d'office, peut, par voie de décision et sur la base d'un constat prima facie d'infraction, ordonner des mesures provisoires</w:t>
      </w:r>
      <w:r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”.</w:t>
      </w:r>
    </w:p>
    <w:p w:rsidR="00185900" w:rsidRPr="003E2C3B" w:rsidRDefault="00185900">
      <w:pPr>
        <w:jc w:val="both"/>
        <w:rPr>
          <w:rFonts w:ascii="Corbel" w:eastAsia="Corbel" w:hAnsi="Corbel" w:cs="Corbel"/>
          <w:noProof/>
          <w:w w:val="105"/>
          <w:sz w:val="23"/>
          <w:szCs w:val="23"/>
          <w:lang w:val="en-US"/>
        </w:rPr>
      </w:pPr>
    </w:p>
    <w:p w:rsidR="00814470" w:rsidRPr="003E2C3B" w:rsidRDefault="00185900">
      <w:pPr>
        <w:jc w:val="both"/>
        <w:rPr>
          <w:rFonts w:ascii="Corbel" w:eastAsia="Corbel" w:hAnsi="Corbel" w:cs="Corbel"/>
          <w:noProof/>
          <w:w w:val="105"/>
          <w:sz w:val="23"/>
          <w:szCs w:val="23"/>
          <w:lang w:val="en-US"/>
        </w:rPr>
      </w:pPr>
      <w:r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 xml:space="preserve">Avec cette exigence de « </w:t>
      </w:r>
      <w:r w:rsidRPr="00427995">
        <w:rPr>
          <w:rFonts w:ascii="Corbel" w:eastAsia="Corbel" w:hAnsi="Corbel" w:cs="Corbel"/>
          <w:i/>
          <w:noProof/>
          <w:w w:val="105"/>
          <w:sz w:val="23"/>
          <w:szCs w:val="23"/>
          <w:lang w:val="en-US"/>
        </w:rPr>
        <w:t xml:space="preserve">préjudice grave et </w:t>
      </w:r>
      <w:r w:rsidRPr="00427995">
        <w:rPr>
          <w:rFonts w:ascii="Corbel" w:eastAsia="Corbel" w:hAnsi="Corbel" w:cs="Corbel"/>
          <w:i/>
          <w:noProof/>
          <w:w w:val="105"/>
          <w:sz w:val="23"/>
          <w:szCs w:val="23"/>
          <w:lang w:val="en-US"/>
        </w:rPr>
        <w:t>irréparable</w:t>
      </w:r>
      <w:r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 xml:space="preserve"> », les standards de mise en œuvre des mesures provisoires apparaissent trop élevés, de telle sorte que cette mesure, pourtant nécessaire, est inapplicable.  </w:t>
      </w:r>
      <w:r w:rsidRPr="003E2C3B">
        <w:rPr>
          <w:rFonts w:ascii="Corbel" w:eastAsia="Corbel" w:hAnsi="Corbel" w:cs="Corbel"/>
          <w:b/>
          <w:noProof/>
          <w:w w:val="105"/>
          <w:sz w:val="23"/>
          <w:szCs w:val="23"/>
          <w:lang w:val="en-US"/>
        </w:rPr>
        <w:t xml:space="preserve">De fait, depuis 2003, elle n’a jamais été </w:t>
      </w:r>
      <w:r w:rsidR="005D6F46" w:rsidRPr="003E2C3B">
        <w:rPr>
          <w:rFonts w:ascii="Corbel" w:eastAsia="Corbel" w:hAnsi="Corbel" w:cs="Corbel"/>
          <w:b/>
          <w:noProof/>
          <w:w w:val="105"/>
          <w:sz w:val="23"/>
          <w:szCs w:val="23"/>
          <w:lang w:val="en-US"/>
        </w:rPr>
        <w:t>utilisée</w:t>
      </w:r>
      <w:r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 xml:space="preserve">, </w:t>
      </w:r>
      <w:r w:rsidR="005D6F46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alors même</w:t>
      </w:r>
      <w:r w:rsidR="00814470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 xml:space="preserve"> que les autorités nationales de concurrence à travers l’Union Européenne y ont fréquemment recours.</w:t>
      </w:r>
      <w:r w:rsidR="00BC1E42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 xml:space="preserve"> Il faut pouvoir les mettre en oeuvre quand le préjudice est “</w:t>
      </w:r>
      <w:r w:rsidR="00BC1E42" w:rsidRPr="00427995">
        <w:rPr>
          <w:rFonts w:ascii="Corbel" w:eastAsia="Corbel" w:hAnsi="Corbel" w:cs="Corbel"/>
          <w:b/>
          <w:i/>
          <w:noProof/>
          <w:w w:val="105"/>
          <w:sz w:val="23"/>
          <w:szCs w:val="23"/>
          <w:lang w:val="en-US"/>
        </w:rPr>
        <w:t>grave et immédiat</w:t>
      </w:r>
      <w:r w:rsidR="00BC1E42" w:rsidRPr="003E2C3B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”</w:t>
      </w:r>
      <w:r w:rsidR="00427995">
        <w:rPr>
          <w:rFonts w:ascii="Corbel" w:eastAsia="Corbel" w:hAnsi="Corbel" w:cs="Corbel"/>
          <w:noProof/>
          <w:w w:val="105"/>
          <w:sz w:val="23"/>
          <w:szCs w:val="23"/>
          <w:lang w:val="en-US"/>
        </w:rPr>
        <w:t>.</w:t>
      </w:r>
    </w:p>
    <w:p w:rsidR="00431F90" w:rsidRPr="003E2C3B" w:rsidRDefault="00431F90">
      <w:pPr>
        <w:jc w:val="both"/>
        <w:rPr>
          <w:rFonts w:ascii="Corbel" w:eastAsia="Corbel" w:hAnsi="Corbel" w:cs="Corbel"/>
          <w:noProof/>
          <w:w w:val="105"/>
          <w:sz w:val="23"/>
          <w:szCs w:val="23"/>
          <w:lang w:val="en-US"/>
        </w:rPr>
      </w:pPr>
    </w:p>
    <w:p w:rsidR="00431F90" w:rsidRPr="003E2C3B" w:rsidRDefault="00814470" w:rsidP="00D63DA2">
      <w:pPr>
        <w:jc w:val="both"/>
        <w:rPr>
          <w:rFonts w:ascii="Corbel" w:eastAsia="Corbel" w:hAnsi="Corbel" w:cs="Corbel"/>
          <w:b/>
          <w:noProof/>
          <w:w w:val="105"/>
          <w:sz w:val="23"/>
          <w:szCs w:val="23"/>
          <w:lang w:val="en-US"/>
        </w:rPr>
      </w:pPr>
      <w:r w:rsidRPr="003E2C3B">
        <w:rPr>
          <w:rFonts w:ascii="Corbel" w:eastAsia="Corbel" w:hAnsi="Corbel" w:cs="Corbel"/>
          <w:b/>
          <w:noProof/>
          <w:w w:val="105"/>
          <w:sz w:val="23"/>
          <w:szCs w:val="23"/>
          <w:lang w:val="en-US"/>
        </w:rPr>
        <w:t xml:space="preserve">Dans ce contexte, il est </w:t>
      </w:r>
      <w:r w:rsidR="008711F9" w:rsidRPr="003E2C3B">
        <w:rPr>
          <w:rFonts w:ascii="Corbel" w:eastAsia="Corbel" w:hAnsi="Corbel" w:cs="Corbel"/>
          <w:b/>
          <w:noProof/>
          <w:w w:val="105"/>
          <w:sz w:val="23"/>
          <w:szCs w:val="23"/>
          <w:lang w:val="en-US"/>
        </w:rPr>
        <w:t xml:space="preserve">primordial que les mesures conservatoires deviennent utilisables au niveau </w:t>
      </w:r>
      <w:r w:rsidR="00B10B86" w:rsidRPr="003E2C3B">
        <w:rPr>
          <w:rFonts w:ascii="Corbel" w:eastAsia="Corbel" w:hAnsi="Corbel" w:cs="Corbel"/>
          <w:b/>
          <w:noProof/>
          <w:w w:val="105"/>
          <w:sz w:val="23"/>
          <w:szCs w:val="23"/>
          <w:lang w:val="en-US"/>
        </w:rPr>
        <w:t>e</w:t>
      </w:r>
      <w:r w:rsidR="008711F9" w:rsidRPr="003E2C3B">
        <w:rPr>
          <w:rFonts w:ascii="Corbel" w:eastAsia="Corbel" w:hAnsi="Corbel" w:cs="Corbel"/>
          <w:b/>
          <w:noProof/>
          <w:w w:val="105"/>
          <w:sz w:val="23"/>
          <w:szCs w:val="23"/>
          <w:lang w:val="en-US"/>
        </w:rPr>
        <w:t>uropéen, et que leurs conditions d</w:t>
      </w:r>
      <w:r w:rsidR="00185900" w:rsidRPr="003E2C3B">
        <w:rPr>
          <w:rFonts w:ascii="Corbel" w:eastAsia="Corbel" w:hAnsi="Corbel" w:cs="Corbel"/>
          <w:b/>
          <w:noProof/>
          <w:w w:val="105"/>
          <w:sz w:val="23"/>
          <w:szCs w:val="23"/>
          <w:lang w:val="en-US"/>
        </w:rPr>
        <w:t xml:space="preserve">’application </w:t>
      </w:r>
      <w:r w:rsidR="008711F9" w:rsidRPr="003E2C3B">
        <w:rPr>
          <w:rFonts w:ascii="Corbel" w:eastAsia="Corbel" w:hAnsi="Corbel" w:cs="Corbel"/>
          <w:b/>
          <w:noProof/>
          <w:w w:val="105"/>
          <w:sz w:val="23"/>
          <w:szCs w:val="23"/>
          <w:lang w:val="en-US"/>
        </w:rPr>
        <w:t>concordent avec celles des autorités de concurrence nationales, qui aujourd’hui mettent en pratique ces mesures conservatoires.</w:t>
      </w:r>
    </w:p>
    <w:p w:rsidR="00E94162" w:rsidRPr="003E2C3B" w:rsidRDefault="00E94162" w:rsidP="00D63DA2">
      <w:pPr>
        <w:jc w:val="both"/>
        <w:rPr>
          <w:noProof/>
          <w:sz w:val="23"/>
          <w:szCs w:val="23"/>
          <w:lang w:val="en-AU"/>
        </w:rPr>
      </w:pPr>
      <w:r w:rsidRPr="003E2C3B">
        <w:rPr>
          <w:rFonts w:ascii="Corbel" w:eastAsia="Corbel" w:hAnsi="Corbel" w:cs="Corbel"/>
          <w:b/>
          <w:noProof/>
          <w:w w:val="105"/>
          <w:sz w:val="23"/>
          <w:szCs w:val="23"/>
          <w:lang w:val="en-US"/>
        </w:rPr>
        <w:br/>
        <w:t>Avec cette réforme</w:t>
      </w:r>
      <w:r w:rsidR="00F013B4" w:rsidRPr="003E2C3B">
        <w:rPr>
          <w:rFonts w:ascii="Corbel" w:eastAsia="Corbel" w:hAnsi="Corbel" w:cs="Corbel"/>
          <w:b/>
          <w:noProof/>
          <w:w w:val="105"/>
          <w:sz w:val="23"/>
          <w:szCs w:val="23"/>
          <w:lang w:val="en-US"/>
        </w:rPr>
        <w:t xml:space="preserve">, les entreprises du numériques européennes pourront être protégées de manière effiace, la Commission européenne étant en mesure d’interrompre en quelques mois une pratique </w:t>
      </w:r>
      <w:r w:rsidR="00FA6A69" w:rsidRPr="003E2C3B">
        <w:rPr>
          <w:rFonts w:ascii="Corbel" w:eastAsia="Corbel" w:hAnsi="Corbel" w:cs="Corbel"/>
          <w:b/>
          <w:noProof/>
          <w:w w:val="105"/>
          <w:sz w:val="23"/>
          <w:szCs w:val="23"/>
          <w:lang w:val="en-US"/>
        </w:rPr>
        <w:t>abusive</w:t>
      </w:r>
      <w:r w:rsidR="00F013B4" w:rsidRPr="003E2C3B">
        <w:rPr>
          <w:rFonts w:ascii="Corbel" w:eastAsia="Corbel" w:hAnsi="Corbel" w:cs="Corbel"/>
          <w:b/>
          <w:noProof/>
          <w:w w:val="105"/>
          <w:sz w:val="23"/>
          <w:szCs w:val="23"/>
          <w:lang w:val="en-US"/>
        </w:rPr>
        <w:t xml:space="preserve"> avant qu’il ne soit trop tard. </w:t>
      </w:r>
    </w:p>
    <w:sectPr w:rsidR="00E94162" w:rsidRPr="003E2C3B" w:rsidSect="003E2C3B">
      <w:headerReference w:type="default" r:id="rId6"/>
      <w:pgSz w:w="11900" w:h="16840"/>
      <w:pgMar w:top="1417" w:right="1417" w:bottom="846" w:left="1417" w:header="3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F6D" w:rsidRDefault="00B67F6D" w:rsidP="003A3BB1">
      <w:r>
        <w:separator/>
      </w:r>
    </w:p>
  </w:endnote>
  <w:endnote w:type="continuationSeparator" w:id="0">
    <w:p w:rsidR="00B67F6D" w:rsidRDefault="00B67F6D" w:rsidP="003A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F6D" w:rsidRDefault="00B67F6D" w:rsidP="003A3BB1">
      <w:r>
        <w:separator/>
      </w:r>
    </w:p>
  </w:footnote>
  <w:footnote w:type="continuationSeparator" w:id="0">
    <w:p w:rsidR="00B67F6D" w:rsidRDefault="00B67F6D" w:rsidP="003A3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470" w:rsidRDefault="00814470" w:rsidP="003A3BB1">
    <w:pPr>
      <w:pStyle w:val="En-tte"/>
      <w:jc w:val="center"/>
    </w:pPr>
    <w:r>
      <w:rPr>
        <w:rFonts w:ascii="Times New Roman"/>
        <w:noProof/>
        <w:sz w:val="20"/>
        <w:lang w:eastAsia="fr-FR"/>
      </w:rPr>
      <w:drawing>
        <wp:inline distT="0" distB="0" distL="0" distR="0" wp14:anchorId="6E38ACB0" wp14:editId="0F45D9BF">
          <wp:extent cx="2600960" cy="603885"/>
          <wp:effectExtent l="0" t="0" r="2540" b="5715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3010" cy="604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8A"/>
    <w:rsid w:val="00047CE7"/>
    <w:rsid w:val="000565E2"/>
    <w:rsid w:val="00110327"/>
    <w:rsid w:val="001246F8"/>
    <w:rsid w:val="00185900"/>
    <w:rsid w:val="002D2D7A"/>
    <w:rsid w:val="002F3C46"/>
    <w:rsid w:val="00334B00"/>
    <w:rsid w:val="003A3BB1"/>
    <w:rsid w:val="003E058A"/>
    <w:rsid w:val="003E2C3B"/>
    <w:rsid w:val="00427995"/>
    <w:rsid w:val="00431F90"/>
    <w:rsid w:val="004C255F"/>
    <w:rsid w:val="00500AB1"/>
    <w:rsid w:val="005017F9"/>
    <w:rsid w:val="00510622"/>
    <w:rsid w:val="005317CD"/>
    <w:rsid w:val="005546B2"/>
    <w:rsid w:val="005C3C68"/>
    <w:rsid w:val="005D6F46"/>
    <w:rsid w:val="006608A5"/>
    <w:rsid w:val="00695F1F"/>
    <w:rsid w:val="006F1B7C"/>
    <w:rsid w:val="00764450"/>
    <w:rsid w:val="00783119"/>
    <w:rsid w:val="007A788A"/>
    <w:rsid w:val="007D50F9"/>
    <w:rsid w:val="00814470"/>
    <w:rsid w:val="00861FF1"/>
    <w:rsid w:val="008711F9"/>
    <w:rsid w:val="008F2012"/>
    <w:rsid w:val="009A46C3"/>
    <w:rsid w:val="00AE0C2C"/>
    <w:rsid w:val="00B10B86"/>
    <w:rsid w:val="00B67F6D"/>
    <w:rsid w:val="00B74FC7"/>
    <w:rsid w:val="00BC1E42"/>
    <w:rsid w:val="00BD7B1C"/>
    <w:rsid w:val="00BE73A2"/>
    <w:rsid w:val="00C32C7B"/>
    <w:rsid w:val="00C94124"/>
    <w:rsid w:val="00D55B97"/>
    <w:rsid w:val="00D63DA2"/>
    <w:rsid w:val="00E93FAD"/>
    <w:rsid w:val="00E94162"/>
    <w:rsid w:val="00EF47C8"/>
    <w:rsid w:val="00F013B4"/>
    <w:rsid w:val="00FA6A69"/>
    <w:rsid w:val="00FC12E4"/>
    <w:rsid w:val="00FC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AC7AE0"/>
  <w15:docId w15:val="{2DDD7483-CA3D-6547-9425-3C2C1A60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3B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3BB1"/>
  </w:style>
  <w:style w:type="paragraph" w:styleId="Pieddepage">
    <w:name w:val="footer"/>
    <w:basedOn w:val="Normal"/>
    <w:link w:val="PieddepageCar"/>
    <w:uiPriority w:val="99"/>
    <w:unhideWhenUsed/>
    <w:rsid w:val="003A3B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3BB1"/>
  </w:style>
  <w:style w:type="paragraph" w:styleId="Textedebulles">
    <w:name w:val="Balloon Text"/>
    <w:basedOn w:val="Normal"/>
    <w:link w:val="TextedebullesCar"/>
    <w:uiPriority w:val="99"/>
    <w:semiHidden/>
    <w:unhideWhenUsed/>
    <w:rsid w:val="003A3BB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BB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Strauss</dc:creator>
  <cp:keywords/>
  <dc:description/>
  <cp:lastModifiedBy>Anaïs Strauss</cp:lastModifiedBy>
  <cp:revision>17</cp:revision>
  <cp:lastPrinted>2019-04-18T15:51:00Z</cp:lastPrinted>
  <dcterms:created xsi:type="dcterms:W3CDTF">2019-04-18T13:20:00Z</dcterms:created>
  <dcterms:modified xsi:type="dcterms:W3CDTF">2019-04-18T15:59:00Z</dcterms:modified>
</cp:coreProperties>
</file>